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2AEF" w:rsidRPr="0050521A">
        <w:trPr>
          <w:trHeight w:hRule="exact" w:val="152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 w:rsidP="00713005">
            <w:pPr>
              <w:spacing w:after="0" w:line="240" w:lineRule="auto"/>
              <w:jc w:val="both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50521A">
              <w:rPr>
                <w:rFonts w:ascii="Times New Roman" w:hAnsi="Times New Roman" w:cs="Times New Roman"/>
                <w:color w:val="000000"/>
                <w:lang w:val="ru-RU"/>
              </w:rPr>
              <w:t>30.08.2021  №94</w:t>
            </w: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2AEF" w:rsidRPr="0050521A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2AEF" w:rsidRPr="005052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B2AEF" w:rsidRPr="0050521A">
        <w:trPr>
          <w:trHeight w:hRule="exact" w:val="211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50521A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2AEF" w:rsidRPr="0050521A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A814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2AEF">
        <w:trPr>
          <w:trHeight w:hRule="exact" w:val="14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Стандартизация программных средств и информационных технологий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2AEF" w:rsidRPr="0050521A">
        <w:trPr>
          <w:trHeight w:hRule="exact" w:val="13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2AEF" w:rsidRPr="0050521A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B2AEF" w:rsidRPr="0050521A">
        <w:trPr>
          <w:trHeight w:hRule="exact" w:val="416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155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5052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24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B2AEF">
        <w:trPr>
          <w:trHeight w:hRule="exact" w:val="30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041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666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3C40" w:rsidRPr="008C14AD" w:rsidRDefault="00A23C40" w:rsidP="00A23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713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2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B2AEF" w:rsidRPr="00A81443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8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8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052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2AEF" w:rsidRPr="005052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2AEF">
        <w:trPr>
          <w:trHeight w:hRule="exact" w:val="555"/>
        </w:trPr>
        <w:tc>
          <w:tcPr>
            <w:tcW w:w="9640" w:type="dxa"/>
          </w:tcPr>
          <w:p w:rsidR="00EB2AEF" w:rsidRDefault="00EB2AEF"/>
        </w:tc>
      </w:tr>
      <w:tr w:rsidR="00EB2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2AEF" w:rsidRPr="005052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505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«Стандартизация программных средств и информационных технологий» в течение 2020/2021 учебного года: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2AEF" w:rsidRPr="0050521A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«Стандартизация программных средств и информационных технологий».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2AEF" w:rsidRPr="0050521A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«Стандартизация программных средств и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2AEF" w:rsidRPr="00505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EB2AEF" w:rsidRPr="00505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EB2AEF" w:rsidRPr="00505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EB2AEF" w:rsidRPr="00505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EB2AEF" w:rsidRPr="0050521A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5052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2AEF" w:rsidRPr="0050521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EB2AEF" w:rsidRPr="0050521A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EB2AEF" w:rsidRPr="0050521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EB2AEF" w:rsidRPr="0050521A">
        <w:trPr>
          <w:trHeight w:hRule="exact" w:val="416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2AEF" w:rsidRPr="0050521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«Стандартизация программных средств и информационных технологий»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B2AEF" w:rsidRPr="0050521A">
        <w:trPr>
          <w:trHeight w:hRule="exact" w:val="138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2A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EB2AEF"/>
        </w:tc>
      </w:tr>
      <w:tr w:rsidR="00EB2AEF" w:rsidRPr="005052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учебного предмета «Информатика и ИКТ»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B2AEF" w:rsidRDefault="006D3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50521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50521A">
        <w:trPr>
          <w:trHeight w:hRule="exact" w:val="6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2AEF">
        <w:trPr>
          <w:trHeight w:hRule="exact" w:val="416"/>
        </w:trPr>
        <w:tc>
          <w:tcPr>
            <w:tcW w:w="5671" w:type="dxa"/>
          </w:tcPr>
          <w:p w:rsidR="00EB2AEF" w:rsidRDefault="00EB2AEF"/>
        </w:tc>
        <w:tc>
          <w:tcPr>
            <w:tcW w:w="1702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технического нормирования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технологической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стандарты МЭК в области общей информационной модели.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классов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объектов (objectdiagram)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состояний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 активности (деятельности, activitydiagram)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компонентов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развертывания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2AEF" w:rsidRPr="0050521A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2AEF" w:rsidRPr="005052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</w:tr>
      <w:tr w:rsidR="00EB2AEF" w:rsidRPr="005052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стандартизации. Основные термины в области технического нормирования и стандартизации. Цели и принципы технического нормирования и стан- дартизации. Уровни стандартизации. Виды технических правовых актов. Информацион- ное обеспечение работ по стандартизации.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Сертификация программных средств. Основные документы нормативно-правовой базы сертификации.  Сертификация программных средств. Основные термины и опреде-ления. Оценка соответствия.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соответствия. Проведение сертификации программных средств.</w:t>
            </w: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стандартизации программных средств. Основные термины и определения.  Виды программ по ГОСТ 19781-90. Классификация программного обеспечения по ГОСТ Р ИСО/МЭК  ТО12182-2002. Модели жизненного цикла программных средств. Стандартизация  жизненного цикла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в контексте системы.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</w:tr>
      <w:tr w:rsidR="00EB2AEF" w:rsidRPr="005052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качества программных средств.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программных средств. Основные определения.  Номенклатура показателей качества программных средств.  Методы определения показателей качества программных средств.  Взаимосвязь показателей качества программных средств с  фазами жизненного цикла.  Оценка качества программных средств. Стандартизация качества программных средств защиты от воздействия  вредоносных и вирусных программ. Стандартизация программных документов пользователя. Программная инженерия – Качество продукта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9126).</w:t>
            </w: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в области общей информационной модели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Базовые понятия общей информационной модели. Расширения общей информационной модели. 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универсальный формат для структурирования документов 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RDF(Resource Definition Framework – схема описания ресурсов.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различ- ного назначения.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5052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</w:tr>
      <w:tr w:rsidR="00EB2AEF" w:rsidRPr="0050521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Получить у преподавателя задание – программное средство, для которого будут разрабатываться требования к характеристикам и мерам качества.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Изучить теоретический материал раздела «Выбор мер и шкал характеристик качества программных средств», обратив особое внимание на следующие вопросы: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выбора характеристик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свойств и атрибутов качества функциональных возможностей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количественных и качественных атрибутов характеристик качества ПС, их меры и шкалы;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процесса выбора и установления мер и шкал характеристик качества ПС .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</w:tr>
      <w:tr w:rsidR="00EB2AEF" w:rsidRPr="0050521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Схемы алгоритмов, программ, данных и систем (далее - схемы) состоят из имеющих заданное значение символов, краткого пояснительного текста и соеди-няющих линий.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Схемы могут использоваться на различных уровнях детализации, причем число уровней зависит от размеров и сложности задачи обработки данных. Уровень детализации должен быть таким, чтобы различные части и взаимосвязь между ними были понятны в целом.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В настоящем стандарте определены символы, предназначенные для использования в документации по обработке данных, и приведено руководство по условным обозначениям для применения их 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схемах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схемах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схемах работы системы;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схемах взаимодействия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схемах ресурсов системы.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</w:tr>
      <w:tr w:rsidR="00EB2AEF" w:rsidRPr="005052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Изучить теоретический материал  «Единая система программной документации» (до ТЗ), обратив особое внимание на следующие вопросы: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ЕСПД 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обозначение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содержанию и оформлению ТЗ.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технологической документации на программное средство</w:t>
            </w:r>
          </w:p>
        </w:tc>
      </w:tr>
      <w:tr w:rsidR="00EB2AEF" w:rsidRPr="005052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технологическую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 программы;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описание применения;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пояснительная записка;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и методика испытаний;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спецификация.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</w:tr>
      <w:tr w:rsidR="00EB2AEF" w:rsidRPr="005052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эксплуатационную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руководство системного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руководство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руководство оператора;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руководство по техническому обслуживанию.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– Информационная технология – Оценка программного продукта – Характеристики качества и руководства по их применению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настоящее время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заменен на две взаимосвязанные серии стандартов: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14598–1–6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регламентирует иерархическую модель качества программных средств. На верхнем уровне модели находятся характеристики. Характеристики разделяются на подхарактеристики.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Подхарактеристики определяются метриками. Метрики измеряют атрибуты (свойства) ПС.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</w:tr>
      <w:tr w:rsidR="00EB2AEF" w:rsidRPr="0050521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ГОСТ 28195 устанавливает общие положения по оценке качества ПС: номенклатуру и применяемость показателей качества по подклассам и по фазам жизненного цикла.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задачи, решаемые при оценке качества ПС: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номенклатуры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уровней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выбор методов контроля показателей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контроль значений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принятие решения о соответствии реальных значений показателей качества установленным требованиям.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Ключевые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Ключевыми технологиями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являются технологии: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специфика-ций, использующихся для моделирования разнообразных компонент в рамках жизненного цикла разработки программного обеспечения, включая структуры данных, размещение и взаимодействие компонент, варианты использования и т.д. Рекомендован к использованию Консорциумом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ODMG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зависит от платформы, на которой предполагается реализовывать систему.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объектно-ориентированный подход к моделированию предметной области.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«универсальный формат для структурирования документов и данных», который быстро становится стандартом для машинно-читаемых данных в структурируемом, расширяемом формате, который повсеместно доступен в сети Интернет. Рекомендован к использованию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метаязык, который позволяет конструировать языки разметки для конкретных структур данных.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схема описания ресурсов, разработанная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представления данных.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представляет утверждения о ресурсах в виде, пригодном для машинной обработки.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 является частью концепции семантической паутины.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5052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 w:rsidRPr="0050521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RationalRose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Редактор диаграмм.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Ставится конкретная задача, например, описание программного средства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биз-нес-модели.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выводы о преимуществе выбора одной системы моделирования бизнес-процессов над другой в рамках решения конкретной задачи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стандарты МЭК в области общей информационной модели</w:t>
            </w:r>
          </w:p>
        </w:tc>
      </w:tr>
      <w:tr w:rsidR="00EB2AEF" w:rsidRPr="005052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выполнения работы: обзор современных стандартов МЭК в области общей информационной модели.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набор открытых стандартов для представления элементов электроэнергетических систем, оформленных в виде нескольких серий стандартов Международной Электротехнической Комиссии (МЭК или по-английски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 задуман для того, чтобы дать общепонятные определения элементов электроэнергетических систем для использования в системах управления производством и передачей электроэнергии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их программных интерфейсах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 настоящее время разрабатывается  Техническим комитетом МЭК в нескольких рабочих группах.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</w:tr>
      <w:tr w:rsidR="00EB2AEF" w:rsidRPr="005052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Вариантов Использования, задать варианты использования и дейст- вующих лиц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абстрактный вариант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Добавить ассоциации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Добавить связи расширения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Добавить описания к вариантам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Добавить описания к действующим лицам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Прикрепить файл к варианту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Сохранить файл модели, составить отчет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EB2AEF" w:rsidRPr="005052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Последовательностей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диаграмму Кооперации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Сохранить файл модели, составить отчет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классов в UML</w:t>
            </w:r>
          </w:p>
        </w:tc>
      </w:tr>
      <w:tr w:rsidR="00EB2AEF" w:rsidRPr="005052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Классов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объектов (objectdiagram)</w:t>
            </w: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Объектов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состояний в UML</w:t>
            </w: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Состояний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активности (деятельности, activitydiagram)</w:t>
            </w: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Активности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компонентов в UML</w:t>
            </w: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Компонентов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50521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развертывания в UML</w:t>
            </w: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Развертывания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2AEF" w:rsidRPr="005052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2AEF" w:rsidRPr="0050521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«Стандартизация программных средств и информационных технологий» / Червенчук И.В.. – Омск: Изд-во Омской гуманитарной академии, 2020.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2AEF" w:rsidRPr="0050521A">
        <w:trPr>
          <w:trHeight w:hRule="exact" w:val="138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4" w:history="1">
              <w:r w:rsidR="00851D6A">
                <w:rPr>
                  <w:rStyle w:val="a3"/>
                  <w:lang w:val="ru-RU"/>
                </w:rPr>
                <w:t>http://www.iprbookshop.ru/62809.html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5" w:history="1">
              <w:r w:rsidR="00851D6A">
                <w:rPr>
                  <w:rStyle w:val="a3"/>
                  <w:lang w:val="ru-RU"/>
                </w:rPr>
                <w:t>https://urait.ru/bcode/436514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>
        <w:trPr>
          <w:trHeight w:hRule="exact" w:val="277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2AEF" w:rsidRPr="005052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6" w:history="1">
              <w:r w:rsidR="00851D6A">
                <w:rPr>
                  <w:rStyle w:val="a3"/>
                  <w:lang w:val="ru-RU"/>
                </w:rPr>
                <w:t>http://www.iprbookshop.ru/47277.html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5052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7" w:history="1">
              <w:r w:rsidR="00851D6A">
                <w:rPr>
                  <w:rStyle w:val="a3"/>
                  <w:lang w:val="ru-RU"/>
                </w:rPr>
                <w:t>https://urait.ru/bcode/423364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2AE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851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2AEF" w:rsidRPr="005052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2AEF" w:rsidRPr="0050521A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2AEF" w:rsidRPr="005052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2AEF" w:rsidRPr="005052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5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2AEF" w:rsidRPr="005052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2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2AEF" w:rsidRPr="0050521A">
        <w:trPr>
          <w:trHeight w:hRule="exact" w:val="4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2AEF" w:rsidRPr="0050521A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5052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2AEF" w:rsidRPr="0050521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5052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2AEF" w:rsidRPr="0050521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2AEF" w:rsidRPr="0050521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814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814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814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8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B2AEF" w:rsidRPr="00713005" w:rsidRDefault="00EB2AEF">
      <w:pPr>
        <w:rPr>
          <w:lang w:val="ru-RU"/>
        </w:rPr>
      </w:pPr>
    </w:p>
    <w:sectPr w:rsidR="00EB2AEF" w:rsidRPr="00713005" w:rsidSect="002323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C2"/>
    <w:rsid w:val="00094384"/>
    <w:rsid w:val="000B7A57"/>
    <w:rsid w:val="001F0BC7"/>
    <w:rsid w:val="0023231E"/>
    <w:rsid w:val="00247984"/>
    <w:rsid w:val="00274C70"/>
    <w:rsid w:val="004537F0"/>
    <w:rsid w:val="0050521A"/>
    <w:rsid w:val="005452A2"/>
    <w:rsid w:val="006D3970"/>
    <w:rsid w:val="00713005"/>
    <w:rsid w:val="00783AA0"/>
    <w:rsid w:val="00851D6A"/>
    <w:rsid w:val="00A23C40"/>
    <w:rsid w:val="00A81443"/>
    <w:rsid w:val="00D31453"/>
    <w:rsid w:val="00E209E2"/>
    <w:rsid w:val="00E8301F"/>
    <w:rsid w:val="00E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EBA2F-ACA6-41A3-B36C-279E7E2F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9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39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5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36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2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7594</Words>
  <Characters>43292</Characters>
  <Application>Microsoft Office Word</Application>
  <DocSecurity>0</DocSecurity>
  <Lines>360</Lines>
  <Paragraphs>101</Paragraphs>
  <ScaleCrop>false</ScaleCrop>
  <Company/>
  <LinksUpToDate>false</LinksUpToDate>
  <CharactersWithSpaces>50785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2020-2021_ФГОС3++2020_Бак-ОФО-ПИ(20)_plx_Стандартизация программных средств и информационных технологий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2022-11-12T09:16:00Z</dcterms:modified>
</cp:coreProperties>
</file>